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2000D07A" w:rsidR="000A03DE" w:rsidRPr="00345D9E" w:rsidRDefault="004218A3" w:rsidP="000A03DE">
      <w:pPr>
        <w:pStyle w:val="Title"/>
      </w:pPr>
      <w:r w:rsidRPr="00345D9E">
        <w:rPr>
          <w:lang w:val="en-CA"/>
        </w:rPr>
        <w:t>3GPP TSG-RAN WG2 #10</w:t>
      </w:r>
      <w:r w:rsidR="00E25AD6" w:rsidRPr="00345D9E">
        <w:rPr>
          <w:lang w:val="en-CA"/>
        </w:rPr>
        <w:t>8</w:t>
      </w:r>
      <w:r w:rsidR="000A03DE" w:rsidRPr="00345D9E">
        <w:tab/>
        <w:t>R2-1</w:t>
      </w:r>
      <w:r w:rsidR="00246374" w:rsidRPr="00345D9E">
        <w:t>9</w:t>
      </w:r>
      <w:r w:rsidR="00E25AD6" w:rsidRPr="00345D9E">
        <w:t>1</w:t>
      </w:r>
      <w:r w:rsidR="00863746" w:rsidRPr="00345D9E">
        <w:t>64</w:t>
      </w:r>
      <w:r w:rsidR="00321B83">
        <w:t>35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37BD5C1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35772E">
        <w:rPr>
          <w:rFonts w:ascii="Arial" w:hAnsi="Arial" w:cs="Arial"/>
          <w:b/>
        </w:rPr>
        <w:t>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6D5BEC">
        <w:rPr>
          <w:rFonts w:ascii="Arial" w:hAnsi="Arial" w:cs="Arial"/>
          <w:b/>
        </w:rPr>
        <w:t>PUR transmission for NB-IoT/</w:t>
      </w:r>
      <w:proofErr w:type="spellStart"/>
      <w:r w:rsidR="006D5BEC">
        <w:rPr>
          <w:rFonts w:ascii="Arial" w:hAnsi="Arial" w:cs="Arial"/>
          <w:b/>
        </w:rPr>
        <w:t>eMTC</w:t>
      </w:r>
      <w:proofErr w:type="spellEnd"/>
    </w:p>
    <w:p w14:paraId="1F1E184B" w14:textId="1BEFB66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R2-1914304/</w:t>
      </w:r>
      <w:r w:rsidR="00891A66" w:rsidRPr="00891A66">
        <w:rPr>
          <w:rFonts w:ascii="Arial" w:hAnsi="Arial" w:cs="Arial"/>
          <w:bCs/>
        </w:rPr>
        <w:t>R1-1911399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67013D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21B83">
        <w:rPr>
          <w:rFonts w:ascii="Arial" w:hAnsi="Arial" w:cs="Arial"/>
          <w:bCs/>
          <w:lang w:eastAsia="ja-JP"/>
        </w:rPr>
        <w:t>RAN2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6BB5E8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RAN4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627245A8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</w:t>
      </w:r>
      <w:r w:rsidR="007D393D" w:rsidRPr="007D393D">
        <w:rPr>
          <w:rFonts w:ascii="Arial" w:hAnsi="Arial" w:cs="Arial"/>
        </w:rPr>
        <w:t xml:space="preserve"> on PUR transmission for NB-IoT/</w:t>
      </w:r>
      <w:proofErr w:type="spellStart"/>
      <w:r w:rsidR="007D393D" w:rsidRPr="007D393D">
        <w:rPr>
          <w:rFonts w:ascii="Arial" w:hAnsi="Arial" w:cs="Arial"/>
        </w:rPr>
        <w:t>eMTC</w:t>
      </w:r>
      <w:proofErr w:type="spellEnd"/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In the LS RAN1 </w:t>
      </w:r>
      <w:r w:rsidR="005178C4">
        <w:rPr>
          <w:rFonts w:ascii="Arial" w:hAnsi="Arial" w:cs="Arial"/>
        </w:rPr>
        <w:t>has provided the following question</w:t>
      </w:r>
      <w:r w:rsidR="007C5C7D">
        <w:rPr>
          <w:rFonts w:ascii="Arial" w:hAnsi="Arial" w:cs="Arial"/>
        </w:rPr>
        <w:t>s</w:t>
      </w:r>
      <w:r w:rsidR="005178C4">
        <w:rPr>
          <w:rFonts w:ascii="Arial" w:hAnsi="Arial" w:cs="Arial"/>
        </w:rPr>
        <w:t xml:space="preserve"> to RAN2: </w:t>
      </w:r>
    </w:p>
    <w:p w14:paraId="76D3BB93" w14:textId="2A896F2E" w:rsidR="005178C4" w:rsidRPr="001F5B26" w:rsidRDefault="005178C4" w:rsidP="005178C4">
      <w:pPr>
        <w:numPr>
          <w:ilvl w:val="0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Yu Mincho" w:hAnsi="Arial" w:cs="Arial" w:hint="eastAsia"/>
          <w:color w:val="000000"/>
          <w:lang w:eastAsia="ja-JP"/>
        </w:rPr>
        <w:t>W</w:t>
      </w:r>
      <w:r w:rsidRPr="001F5B26">
        <w:rPr>
          <w:rFonts w:ascii="Arial" w:eastAsia="Yu Mincho" w:hAnsi="Arial" w:cs="Arial"/>
          <w:color w:val="000000"/>
          <w:lang w:eastAsia="ja-JP"/>
        </w:rPr>
        <w:t>hat is the range of the non-zero gap considering the followings questions</w:t>
      </w:r>
    </w:p>
    <w:p w14:paraId="33CFE85F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proportion (how often) of PUR transmissions that have an application layer response after a PUR transmission.</w:t>
      </w:r>
      <w:bookmarkStart w:id="0" w:name="_GoBack"/>
      <w:bookmarkEnd w:id="0"/>
    </w:p>
    <w:p w14:paraId="4A1242A1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time duration between a PUR transmission and the corresponding application layer response.</w:t>
      </w:r>
    </w:p>
    <w:p w14:paraId="3774587F" w14:textId="5A217855" w:rsidR="003B7C48" w:rsidRDefault="003B7C48" w:rsidP="00A515B5">
      <w:pPr>
        <w:spacing w:after="120"/>
        <w:rPr>
          <w:rFonts w:ascii="Arial" w:hAnsi="Arial" w:cs="Arial"/>
        </w:rPr>
      </w:pPr>
    </w:p>
    <w:p w14:paraId="320A97A6" w14:textId="78979509" w:rsidR="00D16B96" w:rsidRDefault="007C5C7D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 frequent</w:t>
      </w:r>
      <w:r w:rsidR="00DD55DE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 PUR transmission has an application layer response or the time duration between a PUR transmission and the corresponding application layer response</w:t>
      </w:r>
      <w:r w:rsidR="008E50EA">
        <w:rPr>
          <w:rFonts w:ascii="Arial" w:hAnsi="Arial" w:cs="Arial"/>
        </w:rPr>
        <w:t xml:space="preserve"> </w:t>
      </w:r>
      <w:r w:rsidR="00D16B96">
        <w:rPr>
          <w:rFonts w:ascii="Arial" w:hAnsi="Arial" w:cs="Arial"/>
        </w:rPr>
        <w:t xml:space="preserve">is not deterministic </w:t>
      </w:r>
      <w:r>
        <w:rPr>
          <w:rFonts w:ascii="Arial" w:hAnsi="Arial" w:cs="Arial"/>
        </w:rPr>
        <w:t xml:space="preserve">considering that application layer aspects are </w:t>
      </w:r>
      <w:r w:rsidR="00DD55D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ransparent to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PUR is not designed for a </w:t>
      </w:r>
      <w:proofErr w:type="gramStart"/>
      <w:r>
        <w:rPr>
          <w:rFonts w:ascii="Arial" w:hAnsi="Arial" w:cs="Arial"/>
        </w:rPr>
        <w:t>particular application</w:t>
      </w:r>
      <w:proofErr w:type="gramEnd"/>
      <w:r>
        <w:rPr>
          <w:rFonts w:ascii="Arial" w:hAnsi="Arial" w:cs="Arial"/>
        </w:rPr>
        <w:t xml:space="preserve"> in mind.</w:t>
      </w:r>
      <w:r w:rsidR="008E50EA">
        <w:rPr>
          <w:rFonts w:ascii="Arial" w:hAnsi="Arial" w:cs="Arial"/>
        </w:rPr>
        <w:t xml:space="preserve"> </w:t>
      </w:r>
    </w:p>
    <w:p w14:paraId="511245A5" w14:textId="6597B7CA" w:rsidR="005178C4" w:rsidRDefault="00E77612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7353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1D6F">
        <w:rPr>
          <w:rFonts w:ascii="Arial" w:hAnsi="Arial" w:cs="Arial"/>
        </w:rPr>
        <w:t>RAN2 considers that the</w:t>
      </w:r>
      <w:r>
        <w:rPr>
          <w:rFonts w:ascii="Arial" w:hAnsi="Arial" w:cs="Arial"/>
        </w:rPr>
        <w:t xml:space="preserve"> gap </w:t>
      </w:r>
      <w:r w:rsidR="0073534B">
        <w:rPr>
          <w:rFonts w:ascii="Arial" w:hAnsi="Arial" w:cs="Arial"/>
        </w:rPr>
        <w:t xml:space="preserve">as intended by RAN1 </w:t>
      </w:r>
      <w:r w:rsidR="00D11D6F">
        <w:rPr>
          <w:rFonts w:ascii="Arial" w:hAnsi="Arial" w:cs="Arial"/>
        </w:rPr>
        <w:t xml:space="preserve">would </w:t>
      </w:r>
      <w:r w:rsidR="0073534B">
        <w:rPr>
          <w:rFonts w:ascii="Arial" w:hAnsi="Arial" w:cs="Arial"/>
        </w:rPr>
        <w:t xml:space="preserve">not </w:t>
      </w:r>
      <w:r w:rsidR="00D11D6F">
        <w:rPr>
          <w:rFonts w:ascii="Arial" w:hAnsi="Arial" w:cs="Arial"/>
        </w:rPr>
        <w:t>be</w:t>
      </w:r>
      <w:r w:rsidR="0073534B">
        <w:rPr>
          <w:rFonts w:ascii="Arial" w:hAnsi="Arial" w:cs="Arial"/>
        </w:rPr>
        <w:t xml:space="preserve"> </w:t>
      </w:r>
      <w:r w:rsidR="0001343C">
        <w:rPr>
          <w:rFonts w:ascii="Arial" w:hAnsi="Arial" w:cs="Arial"/>
        </w:rPr>
        <w:t>beneficial</w:t>
      </w:r>
      <w:r w:rsidR="00D11D6F">
        <w:rPr>
          <w:rFonts w:ascii="Arial" w:hAnsi="Arial" w:cs="Arial"/>
        </w:rPr>
        <w:t>.</w:t>
      </w:r>
      <w:r w:rsidR="0073534B">
        <w:rPr>
          <w:rFonts w:ascii="Arial" w:hAnsi="Arial" w:cs="Arial"/>
        </w:rPr>
        <w:t xml:space="preserve"> </w:t>
      </w:r>
      <w:r w:rsidR="00D50988">
        <w:rPr>
          <w:rFonts w:ascii="Arial" w:hAnsi="Arial" w:cs="Arial"/>
        </w:rPr>
        <w:t xml:space="preserve">Furthermore, </w:t>
      </w:r>
      <w:r w:rsidR="00543DF6">
        <w:rPr>
          <w:rFonts w:ascii="Arial" w:hAnsi="Arial" w:cs="Arial"/>
        </w:rPr>
        <w:t>RAN2 has agreed that UE is not required to continue monitoring PDCCH after receiving L1 ACK</w:t>
      </w:r>
      <w:r w:rsidR="002E6DC7">
        <w:rPr>
          <w:rFonts w:ascii="Arial" w:hAnsi="Arial" w:cs="Arial"/>
        </w:rPr>
        <w:t xml:space="preserve"> and</w:t>
      </w:r>
      <w:r w:rsidR="00D50988">
        <w:rPr>
          <w:rFonts w:ascii="Arial" w:hAnsi="Arial" w:cs="Arial"/>
        </w:rPr>
        <w:t xml:space="preserve"> therefore</w:t>
      </w:r>
      <w:r w:rsidR="002E6DC7">
        <w:rPr>
          <w:rFonts w:ascii="Arial" w:hAnsi="Arial" w:cs="Arial"/>
        </w:rPr>
        <w:t xml:space="preserve"> RAN2 thinks </w:t>
      </w:r>
      <w:r w:rsidR="0073534B">
        <w:rPr>
          <w:rFonts w:ascii="Arial" w:hAnsi="Arial" w:cs="Arial"/>
        </w:rPr>
        <w:t>an indication in PUR L1 ACK should not be used in the way RAN1 has discussed</w:t>
      </w:r>
      <w:r w:rsidR="00D50988">
        <w:rPr>
          <w:rFonts w:ascii="Arial" w:hAnsi="Arial" w:cs="Arial"/>
        </w:rPr>
        <w:t>, i.e.</w:t>
      </w:r>
      <w:r w:rsidR="0073534B">
        <w:rPr>
          <w:rFonts w:ascii="Arial" w:hAnsi="Arial" w:cs="Arial"/>
        </w:rPr>
        <w:t xml:space="preserve"> </w:t>
      </w:r>
      <w:r w:rsidR="000216E7">
        <w:rPr>
          <w:rFonts w:ascii="Arial" w:hAnsi="Arial" w:cs="Arial"/>
        </w:rPr>
        <w:t xml:space="preserve">as </w:t>
      </w:r>
      <w:r w:rsidR="0073534B">
        <w:rPr>
          <w:rFonts w:ascii="Arial" w:hAnsi="Arial" w:cs="Arial"/>
        </w:rPr>
        <w:t xml:space="preserve">an application layer response after a gap. RAN2 made the following agreements in RAN2#108: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78C4" w14:paraId="09020932" w14:textId="77777777" w:rsidTr="005178C4">
        <w:tc>
          <w:tcPr>
            <w:tcW w:w="9855" w:type="dxa"/>
          </w:tcPr>
          <w:p w14:paraId="128F40C7" w14:textId="65526F93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Agreements</w:t>
            </w:r>
          </w:p>
          <w:p w14:paraId="1CB4D20F" w14:textId="49215CE8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 xml:space="preserve">After L1 ACK the PUR procedure is terminated and UE is not required to continue monitoring </w:t>
            </w:r>
            <w:r w:rsidR="00F66E49">
              <w:rPr>
                <w:rFonts w:ascii="Arial" w:hAnsi="Arial" w:cs="Arial"/>
              </w:rPr>
              <w:tab/>
            </w:r>
            <w:r w:rsidRPr="005178C4">
              <w:rPr>
                <w:rFonts w:ascii="Arial" w:hAnsi="Arial" w:cs="Arial"/>
              </w:rPr>
              <w:t>PDCCH after this (as per previous agreements).</w:t>
            </w:r>
          </w:p>
          <w:p w14:paraId="573AE222" w14:textId="5FEB5307" w:rsid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>L1 ACK is not intended for application layer response</w:t>
            </w:r>
          </w:p>
        </w:tc>
      </w:tr>
    </w:tbl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0D775F1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22795ADE" w:rsidR="00DF1D8C" w:rsidRPr="00A16EC6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AA5ED" w14:textId="77777777" w:rsidR="0088618F" w:rsidRDefault="0088618F">
      <w:r>
        <w:separator/>
      </w:r>
    </w:p>
  </w:endnote>
  <w:endnote w:type="continuationSeparator" w:id="0">
    <w:p w14:paraId="662CA27A" w14:textId="77777777" w:rsidR="0088618F" w:rsidRDefault="0088618F">
      <w:r>
        <w:continuationSeparator/>
      </w:r>
    </w:p>
  </w:endnote>
  <w:endnote w:type="continuationNotice" w:id="1">
    <w:p w14:paraId="24CD809D" w14:textId="77777777" w:rsidR="0088618F" w:rsidRDefault="00886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73FB8" w14:textId="77777777" w:rsidR="0088618F" w:rsidRDefault="0088618F">
      <w:r>
        <w:separator/>
      </w:r>
    </w:p>
  </w:footnote>
  <w:footnote w:type="continuationSeparator" w:id="0">
    <w:p w14:paraId="31BD9080" w14:textId="77777777" w:rsidR="0088618F" w:rsidRDefault="0088618F">
      <w:r>
        <w:continuationSeparator/>
      </w:r>
    </w:p>
  </w:footnote>
  <w:footnote w:type="continuationNotice" w:id="1">
    <w:p w14:paraId="241F00CD" w14:textId="77777777" w:rsidR="0088618F" w:rsidRDefault="008861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B3E"/>
    <w:rsid w:val="00086468"/>
    <w:rsid w:val="000871D0"/>
    <w:rsid w:val="0009052F"/>
    <w:rsid w:val="000A03DE"/>
    <w:rsid w:val="000C01B3"/>
    <w:rsid w:val="000C5D77"/>
    <w:rsid w:val="000D3E18"/>
    <w:rsid w:val="000D7B06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7DCF"/>
    <w:rsid w:val="00301264"/>
    <w:rsid w:val="00301891"/>
    <w:rsid w:val="0030196C"/>
    <w:rsid w:val="00303804"/>
    <w:rsid w:val="003201B1"/>
    <w:rsid w:val="00321B83"/>
    <w:rsid w:val="00335CC5"/>
    <w:rsid w:val="00345293"/>
    <w:rsid w:val="00345D9E"/>
    <w:rsid w:val="003546A3"/>
    <w:rsid w:val="00356357"/>
    <w:rsid w:val="0035772E"/>
    <w:rsid w:val="0036317D"/>
    <w:rsid w:val="003652B1"/>
    <w:rsid w:val="00374E7C"/>
    <w:rsid w:val="00381C28"/>
    <w:rsid w:val="00383602"/>
    <w:rsid w:val="003A52E1"/>
    <w:rsid w:val="003B7C48"/>
    <w:rsid w:val="003C1615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1D29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36036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804CFB"/>
    <w:rsid w:val="00807C24"/>
    <w:rsid w:val="008113CF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8123D"/>
    <w:rsid w:val="008818C6"/>
    <w:rsid w:val="0088618F"/>
    <w:rsid w:val="00891A66"/>
    <w:rsid w:val="0089550C"/>
    <w:rsid w:val="008A2767"/>
    <w:rsid w:val="008B2A65"/>
    <w:rsid w:val="008B3442"/>
    <w:rsid w:val="008B35CC"/>
    <w:rsid w:val="008C019D"/>
    <w:rsid w:val="008C74FE"/>
    <w:rsid w:val="008E50EA"/>
    <w:rsid w:val="008F29AE"/>
    <w:rsid w:val="008F52FD"/>
    <w:rsid w:val="00901B60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4F4E"/>
    <w:rsid w:val="00AE0CF2"/>
    <w:rsid w:val="00AE4717"/>
    <w:rsid w:val="00AF3224"/>
    <w:rsid w:val="00B123C5"/>
    <w:rsid w:val="00B23E2D"/>
    <w:rsid w:val="00B27C98"/>
    <w:rsid w:val="00B304A6"/>
    <w:rsid w:val="00B40F97"/>
    <w:rsid w:val="00B446B5"/>
    <w:rsid w:val="00B55418"/>
    <w:rsid w:val="00B573AD"/>
    <w:rsid w:val="00B644AB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A1C60"/>
    <w:rsid w:val="00CA4FEE"/>
    <w:rsid w:val="00CB0E4E"/>
    <w:rsid w:val="00CB65C6"/>
    <w:rsid w:val="00CC319C"/>
    <w:rsid w:val="00CC3DD2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5A41"/>
    <w:rsid w:val="00EA30C3"/>
    <w:rsid w:val="00EA3A53"/>
    <w:rsid w:val="00EA635E"/>
    <w:rsid w:val="00EB144E"/>
    <w:rsid w:val="00EB3174"/>
    <w:rsid w:val="00EC2979"/>
    <w:rsid w:val="00ED4AB1"/>
    <w:rsid w:val="00ED7DD5"/>
    <w:rsid w:val="00EE600D"/>
    <w:rsid w:val="00F03897"/>
    <w:rsid w:val="00F11637"/>
    <w:rsid w:val="00F13322"/>
    <w:rsid w:val="00F15A0F"/>
    <w:rsid w:val="00F217A6"/>
    <w:rsid w:val="00F27AA3"/>
    <w:rsid w:val="00F37725"/>
    <w:rsid w:val="00F41487"/>
    <w:rsid w:val="00F45CDB"/>
    <w:rsid w:val="00F465B4"/>
    <w:rsid w:val="00F56794"/>
    <w:rsid w:val="00F66E49"/>
    <w:rsid w:val="00F670B7"/>
    <w:rsid w:val="00F74523"/>
    <w:rsid w:val="00F819CC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4713F-081B-4DC4-9AA8-4CBBC3DF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2</TotalTime>
  <Pages>1</Pages>
  <Words>320</Words>
  <Characters>1868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4</cp:revision>
  <cp:lastPrinted>2002-04-23T16:10:00Z</cp:lastPrinted>
  <dcterms:created xsi:type="dcterms:W3CDTF">2019-11-21T16:58:00Z</dcterms:created>
  <dcterms:modified xsi:type="dcterms:W3CDTF">2019-11-21T16:59:00Z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